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ascii="黑体" w:eastAsia="黑体"/>
          <w:sz w:val="52"/>
          <w:szCs w:val="52"/>
        </w:rPr>
      </w:pPr>
      <w:r>
        <w:rPr>
          <w:rFonts w:hint="eastAsia" w:ascii="黑体" w:eastAsia="黑体"/>
          <w:sz w:val="52"/>
          <w:szCs w:val="52"/>
        </w:rPr>
        <w:t>宁夏回族自治区人民医院院本部新增道路标识标线项目招标公告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为满足医院工作需求，现对医院院本部新增道路标识标线项目进行院内招标，欢迎具备相关资质的企业前来报名参加。具体内容如下：</w:t>
      </w:r>
    </w:p>
    <w:p>
      <w:pPr>
        <w:spacing w:line="560" w:lineRule="exact"/>
        <w:rPr>
          <w:rFonts w:ascii="仿宋" w:hAnsi="仿宋" w:eastAsia="仿宋"/>
          <w:b/>
          <w:sz w:val="32"/>
          <w:szCs w:val="32"/>
        </w:rPr>
      </w:pPr>
      <w:r>
        <w:rPr>
          <w:rFonts w:hint="eastAsia" w:ascii="仿宋" w:hAnsi="仿宋" w:eastAsia="仿宋"/>
          <w:b/>
          <w:sz w:val="32"/>
          <w:szCs w:val="32"/>
        </w:rPr>
        <w:t>一、招标内容及要求：</w:t>
      </w:r>
    </w:p>
    <w:p>
      <w:pPr>
        <w:spacing w:line="360" w:lineRule="auto"/>
        <w:ind w:firstLine="640" w:firstLineChars="200"/>
        <w:rPr>
          <w:rFonts w:ascii="仿宋" w:hAnsi="仿宋" w:eastAsia="仿宋"/>
          <w:sz w:val="32"/>
          <w:szCs w:val="32"/>
        </w:rPr>
      </w:pPr>
      <w:r>
        <w:rPr>
          <w:rFonts w:hint="eastAsia" w:ascii="仿宋" w:hAnsi="仿宋" w:eastAsia="仿宋"/>
          <w:sz w:val="32"/>
          <w:szCs w:val="32"/>
        </w:rPr>
        <w:t>该项目在</w:t>
      </w:r>
      <w:r>
        <w:rPr>
          <w:rFonts w:hint="eastAsia" w:ascii="仿宋" w:hAnsi="仿宋" w:eastAsia="仿宋" w:cstheme="majorEastAsia"/>
          <w:sz w:val="32"/>
          <w:szCs w:val="32"/>
        </w:rPr>
        <w:t>宁夏回族自治区人民医院院本部东侧（3号规划路）南、北大门，为保证东侧大门开启使用后医院内部道路交通顺畅，需新增标识标线，</w:t>
      </w:r>
      <w:r>
        <w:rPr>
          <w:rFonts w:hint="eastAsia" w:ascii="仿宋" w:hAnsi="仿宋" w:eastAsia="仿宋"/>
          <w:sz w:val="32"/>
          <w:szCs w:val="32"/>
        </w:rPr>
        <w:t>施工工期为10日历天。具体如下：</w:t>
      </w:r>
    </w:p>
    <w:p>
      <w:pPr>
        <w:spacing w:line="360" w:lineRule="auto"/>
        <w:rPr>
          <w:rFonts w:ascii="仿宋" w:hAnsi="仿宋" w:eastAsia="仿宋"/>
          <w:sz w:val="32"/>
          <w:szCs w:val="32"/>
        </w:rPr>
      </w:pPr>
      <w:r>
        <w:rPr>
          <w:rFonts w:hint="eastAsia" w:ascii="仿宋" w:hAnsi="仿宋" w:eastAsia="仿宋"/>
          <w:sz w:val="32"/>
          <w:szCs w:val="32"/>
        </w:rPr>
        <w:t>表一：</w:t>
      </w:r>
    </w:p>
    <w:tbl>
      <w:tblPr>
        <w:tblStyle w:val="6"/>
        <w:tblW w:w="8237" w:type="dxa"/>
        <w:tblInd w:w="93" w:type="dxa"/>
        <w:tblLayout w:type="fixed"/>
        <w:tblCellMar>
          <w:top w:w="0" w:type="dxa"/>
          <w:left w:w="108" w:type="dxa"/>
          <w:bottom w:w="0" w:type="dxa"/>
          <w:right w:w="108" w:type="dxa"/>
        </w:tblCellMar>
      </w:tblPr>
      <w:tblGrid>
        <w:gridCol w:w="1433"/>
        <w:gridCol w:w="1559"/>
        <w:gridCol w:w="1701"/>
        <w:gridCol w:w="1559"/>
        <w:gridCol w:w="851"/>
        <w:gridCol w:w="1134"/>
      </w:tblGrid>
      <w:tr>
        <w:tblPrEx>
          <w:tblLayout w:type="fixed"/>
          <w:tblCellMar>
            <w:top w:w="0" w:type="dxa"/>
            <w:left w:w="108" w:type="dxa"/>
            <w:bottom w:w="0" w:type="dxa"/>
            <w:right w:w="108" w:type="dxa"/>
          </w:tblCellMar>
        </w:tblPrEx>
        <w:trPr>
          <w:trHeight w:val="457" w:hRule="atLeast"/>
        </w:trPr>
        <w:tc>
          <w:tcPr>
            <w:tcW w:w="823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36"/>
                <w:szCs w:val="36"/>
              </w:rPr>
            </w:pPr>
            <w:r>
              <w:rPr>
                <w:rFonts w:ascii="Courier New" w:hAnsi="Courier New" w:cs="Courier New"/>
                <w:color w:val="000000"/>
                <w:kern w:val="0"/>
                <w:sz w:val="36"/>
                <w:szCs w:val="36"/>
              </w:rPr>
              <w:t>新增标识牌</w:t>
            </w:r>
          </w:p>
        </w:tc>
      </w:tr>
      <w:tr>
        <w:tblPrEx>
          <w:tblLayout w:type="fixed"/>
          <w:tblCellMar>
            <w:top w:w="0" w:type="dxa"/>
            <w:left w:w="108" w:type="dxa"/>
            <w:bottom w:w="0" w:type="dxa"/>
            <w:right w:w="108" w:type="dxa"/>
          </w:tblCellMar>
        </w:tblPrEx>
        <w:trPr>
          <w:trHeight w:val="600" w:hRule="atLeast"/>
        </w:trPr>
        <w:tc>
          <w:tcPr>
            <w:tcW w:w="1433" w:type="dxa"/>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标识牌编号</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标识牌内容</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宽度（mm）</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高度（mm）</w:t>
            </w:r>
          </w:p>
        </w:tc>
        <w:tc>
          <w:tcPr>
            <w:tcW w:w="85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限速5公里</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直行左转</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禁止逆行</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禁止掉头</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左转出口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禁右</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禁左</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左转出口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左转</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右转</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右转</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直行右转</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1559"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w:t>
            </w:r>
          </w:p>
        </w:tc>
        <w:tc>
          <w:tcPr>
            <w:tcW w:w="1701"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restar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1559"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右转</w:t>
            </w:r>
          </w:p>
        </w:tc>
        <w:tc>
          <w:tcPr>
            <w:tcW w:w="1701"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restart"/>
            <w:tcBorders>
              <w:top w:val="single" w:color="auto"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134" w:type="dxa"/>
            <w:tcBorders>
              <w:top w:val="single" w:color="auto"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285" w:hRule="atLeast"/>
        </w:trPr>
        <w:tc>
          <w:tcPr>
            <w:tcW w:w="143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出口</w:t>
            </w:r>
          </w:p>
        </w:tc>
        <w:tc>
          <w:tcPr>
            <w:tcW w:w="1701"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750</w:t>
            </w:r>
          </w:p>
        </w:tc>
        <w:tc>
          <w:tcPr>
            <w:tcW w:w="1559"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550</w:t>
            </w:r>
          </w:p>
        </w:tc>
        <w:tc>
          <w:tcPr>
            <w:tcW w:w="851"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4"/>
              </w:rPr>
            </w:pPr>
          </w:p>
        </w:tc>
        <w:tc>
          <w:tcPr>
            <w:tcW w:w="1134" w:type="dxa"/>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块</w:t>
            </w:r>
          </w:p>
        </w:tc>
      </w:tr>
      <w:tr>
        <w:tblPrEx>
          <w:tblLayout w:type="fixed"/>
          <w:tblCellMar>
            <w:top w:w="0" w:type="dxa"/>
            <w:left w:w="108" w:type="dxa"/>
            <w:bottom w:w="0" w:type="dxa"/>
            <w:right w:w="108" w:type="dxa"/>
          </w:tblCellMar>
        </w:tblPrEx>
        <w:trPr>
          <w:trHeight w:val="339" w:hRule="atLeast"/>
        </w:trPr>
        <w:tc>
          <w:tcPr>
            <w:tcW w:w="4693" w:type="dxa"/>
            <w:gridSpan w:val="3"/>
            <w:tcBorders>
              <w:top w:val="single" w:color="auto" w:sz="4" w:space="0"/>
              <w:left w:val="single" w:color="000000" w:sz="4" w:space="0"/>
              <w:bottom w:val="nil"/>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合计（含安装人工、含税金）</w:t>
            </w:r>
          </w:p>
        </w:tc>
        <w:tc>
          <w:tcPr>
            <w:tcW w:w="1559" w:type="dxa"/>
            <w:tcBorders>
              <w:top w:val="single" w:color="auto" w:sz="4" w:space="0"/>
              <w:left w:val="nil"/>
              <w:bottom w:val="nil"/>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851" w:type="dxa"/>
            <w:tcBorders>
              <w:top w:val="single" w:color="auto" w:sz="4" w:space="0"/>
              <w:left w:val="nil"/>
              <w:bottom w:val="nil"/>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18</w:t>
            </w:r>
          </w:p>
        </w:tc>
        <w:tc>
          <w:tcPr>
            <w:tcW w:w="1134" w:type="dxa"/>
            <w:tcBorders>
              <w:top w:val="single" w:color="auto" w:sz="4" w:space="0"/>
              <w:left w:val="nil"/>
              <w:bottom w:val="nil"/>
              <w:right w:val="single" w:color="000000" w:sz="4" w:space="0"/>
            </w:tcBorders>
            <w:shd w:val="clear" w:color="000000" w:fill="FFFFFF"/>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969" w:hRule="atLeast"/>
        </w:trPr>
        <w:tc>
          <w:tcPr>
            <w:tcW w:w="8237"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24"/>
              </w:rPr>
            </w:pPr>
            <w:r>
              <w:rPr>
                <w:rFonts w:hint="eastAsia" w:ascii="宋体" w:hAnsi="宋体" w:cs="宋体"/>
                <w:color w:val="000000"/>
                <w:kern w:val="0"/>
                <w:sz w:val="24"/>
              </w:rPr>
              <w:t>备注：国标镀锌钢管（高度：3000mm φ：80mm 臂厚：4.8mm），固定底板（120x120mm 厚度4.5mm）国标铝板（1.4mm厚，15mm折边），铝制滑槽(80mm规格)，国标200膨胀螺栓，高强度反光膜</w:t>
            </w:r>
          </w:p>
        </w:tc>
      </w:tr>
    </w:tbl>
    <w:p>
      <w:pPr>
        <w:spacing w:line="360" w:lineRule="auto"/>
        <w:rPr>
          <w:rFonts w:ascii="仿宋" w:hAnsi="仿宋" w:eastAsia="仿宋" w:cstheme="majorEastAsia"/>
          <w:sz w:val="32"/>
          <w:szCs w:val="32"/>
        </w:rPr>
      </w:pPr>
      <w:r>
        <w:rPr>
          <w:rFonts w:hint="eastAsia" w:ascii="仿宋" w:hAnsi="仿宋" w:eastAsia="仿宋" w:cstheme="majorEastAsia"/>
          <w:sz w:val="32"/>
          <w:szCs w:val="32"/>
        </w:rPr>
        <w:t>表二：</w:t>
      </w:r>
    </w:p>
    <w:tbl>
      <w:tblPr>
        <w:tblStyle w:val="6"/>
        <w:tblW w:w="8237" w:type="dxa"/>
        <w:tblInd w:w="93" w:type="dxa"/>
        <w:tblLayout w:type="fixed"/>
        <w:tblCellMar>
          <w:top w:w="0" w:type="dxa"/>
          <w:left w:w="108" w:type="dxa"/>
          <w:bottom w:w="0" w:type="dxa"/>
          <w:right w:w="108" w:type="dxa"/>
        </w:tblCellMar>
      </w:tblPr>
      <w:tblGrid>
        <w:gridCol w:w="1433"/>
        <w:gridCol w:w="1843"/>
        <w:gridCol w:w="2835"/>
        <w:gridCol w:w="1134"/>
        <w:gridCol w:w="992"/>
      </w:tblGrid>
      <w:tr>
        <w:tblPrEx>
          <w:tblLayout w:type="fixed"/>
          <w:tblCellMar>
            <w:top w:w="0" w:type="dxa"/>
            <w:left w:w="108" w:type="dxa"/>
            <w:bottom w:w="0" w:type="dxa"/>
            <w:right w:w="108" w:type="dxa"/>
          </w:tblCellMar>
        </w:tblPrEx>
        <w:trPr>
          <w:trHeight w:val="750" w:hRule="atLeast"/>
        </w:trPr>
        <w:tc>
          <w:tcPr>
            <w:tcW w:w="823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Courier New" w:hAnsi="Courier New" w:cs="Courier New"/>
                <w:color w:val="000000"/>
                <w:kern w:val="0"/>
                <w:sz w:val="36"/>
                <w:szCs w:val="36"/>
              </w:rPr>
            </w:pPr>
            <w:r>
              <w:rPr>
                <w:rFonts w:ascii="Courier New" w:hAnsi="Courier New" w:cs="Courier New"/>
                <w:color w:val="000000"/>
                <w:kern w:val="0"/>
                <w:sz w:val="36"/>
                <w:szCs w:val="36"/>
              </w:rPr>
              <w:t>新增道路标线</w:t>
            </w:r>
          </w:p>
        </w:tc>
      </w:tr>
      <w:tr>
        <w:tblPrEx>
          <w:tblLayout w:type="fixed"/>
          <w:tblCellMar>
            <w:top w:w="0" w:type="dxa"/>
            <w:left w:w="108" w:type="dxa"/>
            <w:bottom w:w="0" w:type="dxa"/>
            <w:right w:w="108" w:type="dxa"/>
          </w:tblCellMar>
        </w:tblPrEx>
        <w:trPr>
          <w:trHeight w:val="750"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标线编号</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材料/规格</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w:t>
            </w:r>
          </w:p>
        </w:tc>
      </w:tr>
      <w:tr>
        <w:tblPrEx>
          <w:tblLayout w:type="fixed"/>
          <w:tblCellMar>
            <w:top w:w="0" w:type="dxa"/>
            <w:left w:w="108" w:type="dxa"/>
            <w:bottom w:w="0" w:type="dxa"/>
            <w:right w:w="108" w:type="dxa"/>
          </w:tblCellMar>
        </w:tblPrEx>
        <w:trPr>
          <w:trHeight w:val="544"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直行箭头</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丙烯酸冷漆标线/300cm</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140</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552"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直行左拐</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丙烯酸冷漆标线/300cm</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560"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左右箭头</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丙烯酸冷漆标线/300cm</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554"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车位箭头</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丙烯酸冷漆标线/45cm</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1200</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420"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467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错误箭头打磨清除</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35</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502" w:hRule="atLeast"/>
        </w:trPr>
        <w:tc>
          <w:tcPr>
            <w:tcW w:w="611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合计（含安装人工、含3%专票）</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1337</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1076" w:hRule="atLeast"/>
        </w:trPr>
        <w:tc>
          <w:tcPr>
            <w:tcW w:w="823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备注：常温改性丙烯酸树脂标线漆（符合中国交通部JT/T280-2004路面标线涂料标准、公安部GA/T298标准），施工流程；测量放线、打水线、喷下涂剂、清扫路面、涂敷标线、修毛边、清理现场。</w:t>
            </w:r>
          </w:p>
        </w:tc>
      </w:tr>
    </w:tbl>
    <w:p>
      <w:pPr>
        <w:spacing w:line="360" w:lineRule="auto"/>
        <w:rPr>
          <w:rFonts w:ascii="仿宋" w:hAnsi="仿宋" w:eastAsia="仿宋" w:cstheme="majorEastAsia"/>
          <w:sz w:val="32"/>
          <w:szCs w:val="32"/>
        </w:rPr>
      </w:pPr>
      <w:r>
        <w:rPr>
          <w:rFonts w:hint="eastAsia" w:ascii="仿宋" w:hAnsi="仿宋" w:eastAsia="仿宋" w:cstheme="majorEastAsia"/>
          <w:sz w:val="32"/>
          <w:szCs w:val="32"/>
        </w:rPr>
        <w:t>表三：</w:t>
      </w:r>
    </w:p>
    <w:tbl>
      <w:tblPr>
        <w:tblStyle w:val="6"/>
        <w:tblW w:w="8237" w:type="dxa"/>
        <w:tblInd w:w="93" w:type="dxa"/>
        <w:tblLayout w:type="fixed"/>
        <w:tblCellMar>
          <w:top w:w="0" w:type="dxa"/>
          <w:left w:w="108" w:type="dxa"/>
          <w:bottom w:w="0" w:type="dxa"/>
          <w:right w:w="108" w:type="dxa"/>
        </w:tblCellMar>
      </w:tblPr>
      <w:tblGrid>
        <w:gridCol w:w="1433"/>
        <w:gridCol w:w="1559"/>
        <w:gridCol w:w="3119"/>
        <w:gridCol w:w="1134"/>
        <w:gridCol w:w="992"/>
      </w:tblGrid>
      <w:tr>
        <w:tblPrEx>
          <w:tblLayout w:type="fixed"/>
          <w:tblCellMar>
            <w:top w:w="0" w:type="dxa"/>
            <w:left w:w="108" w:type="dxa"/>
            <w:bottom w:w="0" w:type="dxa"/>
            <w:right w:w="108" w:type="dxa"/>
          </w:tblCellMar>
        </w:tblPrEx>
        <w:trPr>
          <w:trHeight w:val="750" w:hRule="atLeast"/>
        </w:trPr>
        <w:tc>
          <w:tcPr>
            <w:tcW w:w="823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Courier New" w:hAnsi="Courier New" w:cs="Courier New"/>
                <w:color w:val="000000"/>
                <w:kern w:val="0"/>
                <w:sz w:val="36"/>
                <w:szCs w:val="36"/>
              </w:rPr>
            </w:pPr>
            <w:r>
              <w:rPr>
                <w:rFonts w:ascii="Courier New" w:hAnsi="Courier New" w:cs="Courier New"/>
                <w:color w:val="000000"/>
                <w:kern w:val="0"/>
                <w:sz w:val="36"/>
                <w:szCs w:val="36"/>
              </w:rPr>
              <w:t>移装现有标识牌及更改标识牌标识</w:t>
            </w:r>
          </w:p>
        </w:tc>
      </w:tr>
      <w:tr>
        <w:tblPrEx>
          <w:tblLayout w:type="fixed"/>
          <w:tblCellMar>
            <w:top w:w="0" w:type="dxa"/>
            <w:left w:w="108" w:type="dxa"/>
            <w:bottom w:w="0" w:type="dxa"/>
            <w:right w:w="108" w:type="dxa"/>
          </w:tblCellMar>
        </w:tblPrEx>
        <w:trPr>
          <w:trHeight w:val="587"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标线编号</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项目</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要求</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w:t>
            </w:r>
          </w:p>
        </w:tc>
      </w:tr>
      <w:tr>
        <w:tblPrEx>
          <w:tblLayout w:type="fixed"/>
          <w:tblCellMar>
            <w:top w:w="0" w:type="dxa"/>
            <w:left w:w="108" w:type="dxa"/>
            <w:bottom w:w="0" w:type="dxa"/>
            <w:right w:w="108" w:type="dxa"/>
          </w:tblCellMar>
        </w:tblPrEx>
        <w:trPr>
          <w:trHeight w:val="648"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标识牌移装</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根据医院现有方案更改原有标识牌位置</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r>
        <w:tblPrEx>
          <w:tblLayout w:type="fixed"/>
          <w:tblCellMar>
            <w:top w:w="0" w:type="dxa"/>
            <w:left w:w="108" w:type="dxa"/>
            <w:bottom w:w="0" w:type="dxa"/>
            <w:right w:w="108" w:type="dxa"/>
          </w:tblCellMar>
        </w:tblPrEx>
        <w:trPr>
          <w:trHeight w:val="700" w:hRule="atLeast"/>
        </w:trPr>
        <w:tc>
          <w:tcPr>
            <w:tcW w:w="14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标识牌标识重新喷绘</w:t>
            </w:r>
          </w:p>
        </w:tc>
        <w:tc>
          <w:tcPr>
            <w:tcW w:w="311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根据移动位置更改标识牌上的喷绘图案</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28</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个</w:t>
            </w:r>
          </w:p>
        </w:tc>
      </w:tr>
    </w:tbl>
    <w:p>
      <w:pPr>
        <w:spacing w:line="360" w:lineRule="auto"/>
        <w:rPr>
          <w:rFonts w:ascii="仿宋" w:hAnsi="仿宋" w:eastAsia="仿宋" w:cstheme="majorEastAsia"/>
          <w:b/>
          <w:sz w:val="32"/>
          <w:szCs w:val="32"/>
        </w:rPr>
      </w:pPr>
      <w:r>
        <w:rPr>
          <w:rFonts w:hint="eastAsia" w:ascii="仿宋" w:hAnsi="仿宋" w:eastAsia="仿宋" w:cstheme="majorEastAsia"/>
          <w:b/>
          <w:sz w:val="32"/>
          <w:szCs w:val="32"/>
        </w:rPr>
        <w:t>二、道路行车路线方案</w:t>
      </w:r>
    </w:p>
    <w:p>
      <w:pPr>
        <w:pStyle w:val="8"/>
        <w:spacing w:line="360" w:lineRule="auto"/>
        <w:ind w:firstLine="0" w:firstLineChars="0"/>
        <w:rPr>
          <w:rFonts w:ascii="仿宋" w:hAnsi="仿宋" w:eastAsia="仿宋" w:cstheme="majorEastAsia"/>
          <w:b/>
          <w:sz w:val="32"/>
          <w:szCs w:val="32"/>
        </w:rPr>
      </w:pPr>
      <w:r>
        <w:rPr>
          <w:rFonts w:hint="eastAsia" w:ascii="仿宋" w:hAnsi="仿宋" w:eastAsia="仿宋" w:cstheme="majorEastAsia"/>
          <w:b/>
          <w:sz w:val="32"/>
          <w:szCs w:val="32"/>
        </w:rPr>
        <w:t>（1）院区出、入口设置</w:t>
      </w:r>
    </w:p>
    <w:p>
      <w:pPr>
        <w:spacing w:line="360" w:lineRule="auto"/>
        <w:ind w:firstLine="640" w:firstLineChars="200"/>
        <w:rPr>
          <w:rFonts w:ascii="仿宋" w:hAnsi="仿宋" w:eastAsia="仿宋" w:cstheme="majorEastAsia"/>
          <w:sz w:val="32"/>
          <w:szCs w:val="32"/>
        </w:rPr>
      </w:pPr>
      <w:r>
        <w:rPr>
          <w:rFonts w:hint="eastAsia" w:ascii="仿宋" w:hAnsi="仿宋" w:eastAsia="仿宋" w:cstheme="majorEastAsia"/>
          <w:sz w:val="32"/>
          <w:szCs w:val="32"/>
        </w:rPr>
        <w:t>1.院本部西侧（正源北街）南门设置为四车道出、入口，可进可出。</w:t>
      </w:r>
    </w:p>
    <w:p>
      <w:pPr>
        <w:spacing w:line="360" w:lineRule="auto"/>
        <w:ind w:firstLine="640" w:firstLineChars="200"/>
        <w:rPr>
          <w:rFonts w:ascii="仿宋" w:hAnsi="仿宋" w:eastAsia="仿宋" w:cstheme="majorEastAsia"/>
          <w:sz w:val="32"/>
          <w:szCs w:val="32"/>
        </w:rPr>
      </w:pPr>
      <w:r>
        <w:rPr>
          <w:rFonts w:hint="eastAsia" w:ascii="仿宋" w:hAnsi="仿宋" w:eastAsia="仿宋" w:cstheme="majorEastAsia"/>
          <w:sz w:val="32"/>
          <w:szCs w:val="32"/>
        </w:rPr>
        <w:t>2.院本部西侧（正源北街）北门设置为入口，只进不出。</w:t>
      </w:r>
    </w:p>
    <w:p>
      <w:pPr>
        <w:spacing w:line="360" w:lineRule="auto"/>
        <w:ind w:firstLine="640" w:firstLineChars="200"/>
        <w:rPr>
          <w:rFonts w:ascii="仿宋" w:hAnsi="仿宋" w:eastAsia="仿宋" w:cstheme="majorEastAsia"/>
          <w:color w:val="FF0000"/>
          <w:sz w:val="32"/>
          <w:szCs w:val="32"/>
        </w:rPr>
      </w:pPr>
      <w:r>
        <w:rPr>
          <w:rFonts w:hint="eastAsia" w:ascii="仿宋" w:hAnsi="仿宋" w:eastAsia="仿宋" w:cstheme="majorEastAsia"/>
          <w:sz w:val="32"/>
          <w:szCs w:val="32"/>
        </w:rPr>
        <w:t>3.院本部东侧（3号规划路）南门设置为出口，只出不进。</w:t>
      </w:r>
    </w:p>
    <w:p>
      <w:pPr>
        <w:spacing w:line="360" w:lineRule="auto"/>
        <w:ind w:firstLine="640" w:firstLineChars="200"/>
        <w:rPr>
          <w:rFonts w:ascii="仿宋" w:hAnsi="仿宋" w:eastAsia="仿宋" w:cstheme="majorEastAsia"/>
          <w:sz w:val="32"/>
          <w:szCs w:val="32"/>
        </w:rPr>
      </w:pPr>
      <w:r>
        <w:rPr>
          <w:rFonts w:hint="eastAsia" w:ascii="仿宋" w:hAnsi="仿宋" w:eastAsia="仿宋" w:cstheme="majorEastAsia"/>
          <w:sz w:val="32"/>
          <w:szCs w:val="32"/>
        </w:rPr>
        <w:t>4.院本部东侧（3号规划路）北门设置为出、入口，可进可出。</w:t>
      </w:r>
    </w:p>
    <w:p>
      <w:pPr>
        <w:pStyle w:val="8"/>
        <w:spacing w:line="360" w:lineRule="auto"/>
        <w:ind w:firstLine="0" w:firstLineChars="0"/>
        <w:rPr>
          <w:rFonts w:ascii="仿宋" w:hAnsi="仿宋" w:eastAsia="仿宋" w:cstheme="majorEastAsia"/>
          <w:b/>
          <w:sz w:val="32"/>
          <w:szCs w:val="32"/>
        </w:rPr>
      </w:pPr>
      <w:r>
        <w:rPr>
          <w:rFonts w:hint="eastAsia" w:ascii="仿宋" w:hAnsi="仿宋" w:eastAsia="仿宋" w:cstheme="majorEastAsia"/>
          <w:b/>
          <w:sz w:val="32"/>
          <w:szCs w:val="32"/>
        </w:rPr>
        <w:t>（2）救护车通道</w:t>
      </w:r>
    </w:p>
    <w:p>
      <w:pPr>
        <w:spacing w:line="360" w:lineRule="auto"/>
        <w:rPr>
          <w:rFonts w:ascii="仿宋" w:hAnsi="仿宋" w:eastAsia="仿宋" w:cstheme="majorEastAsia"/>
          <w:sz w:val="32"/>
          <w:szCs w:val="32"/>
        </w:rPr>
      </w:pPr>
      <w:r>
        <w:rPr>
          <w:rFonts w:hint="eastAsia" w:ascii="仿宋" w:hAnsi="仿宋" w:eastAsia="仿宋" w:cstheme="majorEastAsia"/>
          <w:sz w:val="32"/>
          <w:szCs w:val="32"/>
        </w:rPr>
        <w:t xml:space="preserve">    为使救护车快速到达急诊科，将救护车绿色通道设置到医院西侧北门进入医院后右拐直接到达急诊科，如不需要前往急诊科的救护车（物资车），在行驶至感染科路口即可左转，进入医院职工停车场，接送物资储备中心的物资及各科室需要接送的物资，或直接驶往车队待命。</w:t>
      </w:r>
    </w:p>
    <w:p>
      <w:pPr>
        <w:spacing w:line="360" w:lineRule="auto"/>
        <w:rPr>
          <w:rFonts w:hint="eastAsia" w:ascii="仿宋" w:hAnsi="仿宋" w:eastAsia="仿宋" w:cstheme="majorEastAsia"/>
          <w:b/>
          <w:sz w:val="32"/>
          <w:szCs w:val="32"/>
          <w:lang w:eastAsia="zh-CN"/>
        </w:rPr>
      </w:pPr>
      <w:r>
        <w:rPr>
          <w:rFonts w:hint="eastAsia" w:ascii="仿宋" w:hAnsi="仿宋" w:eastAsia="仿宋" w:cstheme="majorEastAsia"/>
          <w:b/>
          <w:sz w:val="32"/>
          <w:szCs w:val="32"/>
        </w:rPr>
        <w:t>（3）院区内道路行驶方向</w:t>
      </w:r>
      <w:bookmarkStart w:id="0" w:name="_GoBack"/>
      <w:bookmarkEnd w:id="0"/>
    </w:p>
    <w:p>
      <w:pPr>
        <w:pStyle w:val="8"/>
        <w:spacing w:line="360" w:lineRule="auto"/>
        <w:ind w:firstLine="0" w:firstLineChars="0"/>
        <w:rPr>
          <w:rFonts w:ascii="仿宋" w:hAnsi="仿宋" w:eastAsia="仿宋" w:cstheme="majorEastAsia"/>
          <w:sz w:val="32"/>
          <w:szCs w:val="32"/>
        </w:rPr>
      </w:pPr>
      <w:r>
        <w:rPr>
          <w:rFonts w:hint="eastAsia" w:ascii="仿宋" w:hAnsi="仿宋" w:eastAsia="仿宋" w:cstheme="majorEastAsia"/>
          <w:sz w:val="32"/>
          <w:szCs w:val="32"/>
        </w:rPr>
        <w:t>1.西侧南门进入后行驶路线（南门入口）。</w:t>
      </w:r>
    </w:p>
    <w:p>
      <w:pPr>
        <w:spacing w:line="360" w:lineRule="auto"/>
        <w:ind w:firstLine="640" w:firstLineChars="200"/>
        <w:rPr>
          <w:rFonts w:ascii="仿宋" w:hAnsi="仿宋" w:eastAsia="仿宋" w:cstheme="majorEastAsia"/>
          <w:sz w:val="32"/>
          <w:szCs w:val="32"/>
        </w:rPr>
      </w:pPr>
      <w:r>
        <w:rPr>
          <w:rFonts w:hint="eastAsia" w:ascii="仿宋" w:hAnsi="仿宋" w:eastAsia="仿宋" w:cstheme="majorEastAsia"/>
          <w:sz w:val="32"/>
          <w:szCs w:val="32"/>
        </w:rPr>
        <w:t>由西侧南门进入院区车辆驶入医院后可左转前往急诊科方向，经行政楼前至东侧北门驶离医院，或直行通过门诊楼、住院部、老年医学科后可直接由医院东侧南门驶离医院，或左转进入医院内部东侧道路，继续向医院锅炉房方向行驶，行驶至锅炉房位置，可右转通过东侧北门驶离医院，或左转前往公寓楼、培训中心、行政楼、感染楼门口道路，也可行驶至院本部西侧国际会议中心后左转驶向急诊科至西侧南门出口，完成院区内部道路循环。</w:t>
      </w:r>
    </w:p>
    <w:p>
      <w:pPr>
        <w:pStyle w:val="8"/>
        <w:spacing w:line="360" w:lineRule="auto"/>
        <w:ind w:firstLine="0" w:firstLineChars="0"/>
        <w:rPr>
          <w:rFonts w:ascii="仿宋" w:hAnsi="仿宋" w:eastAsia="仿宋" w:cstheme="majorEastAsia"/>
          <w:sz w:val="32"/>
          <w:szCs w:val="32"/>
        </w:rPr>
      </w:pPr>
      <w:r>
        <w:rPr>
          <w:rFonts w:hint="eastAsia" w:ascii="仿宋" w:hAnsi="仿宋" w:eastAsia="仿宋" w:cstheme="majorEastAsia"/>
          <w:sz w:val="32"/>
          <w:szCs w:val="32"/>
        </w:rPr>
        <w:t>2.西侧北门进入后行驶路线（北门入口）</w:t>
      </w:r>
    </w:p>
    <w:p>
      <w:pPr>
        <w:spacing w:line="360" w:lineRule="auto"/>
        <w:ind w:firstLine="640" w:firstLineChars="200"/>
        <w:rPr>
          <w:rFonts w:ascii="仿宋" w:hAnsi="仿宋" w:eastAsia="仿宋" w:cstheme="majorEastAsia"/>
          <w:sz w:val="32"/>
          <w:szCs w:val="32"/>
        </w:rPr>
      </w:pPr>
      <w:r>
        <w:rPr>
          <w:rFonts w:hint="eastAsia" w:ascii="仿宋" w:hAnsi="仿宋" w:eastAsia="仿宋" w:cstheme="majorEastAsia"/>
          <w:sz w:val="32"/>
          <w:szCs w:val="32"/>
        </w:rPr>
        <w:t>由西侧北门进入院区的车辆，驶入医院后可直行，或右转至感染科楼前道路，或可驶往急诊楼、门诊楼后汇入西侧由南门驶入的车流，或右转驶离院区。</w:t>
      </w:r>
    </w:p>
    <w:p>
      <w:pPr>
        <w:numPr>
          <w:ilvl w:val="0"/>
          <w:numId w:val="1"/>
        </w:numPr>
        <w:spacing w:line="360" w:lineRule="auto"/>
        <w:rPr>
          <w:rFonts w:ascii="仿宋" w:hAnsi="仿宋" w:eastAsia="仿宋" w:cstheme="majorEastAsia"/>
          <w:sz w:val="32"/>
          <w:szCs w:val="32"/>
        </w:rPr>
      </w:pPr>
      <w:r>
        <w:rPr>
          <w:rFonts w:hint="eastAsia" w:ascii="仿宋" w:hAnsi="仿宋" w:eastAsia="仿宋" w:cstheme="majorEastAsia"/>
          <w:sz w:val="32"/>
          <w:szCs w:val="32"/>
        </w:rPr>
        <w:t xml:space="preserve"> 东侧北门进入后行驶路线（东侧北门入口）</w:t>
      </w:r>
    </w:p>
    <w:p>
      <w:pPr>
        <w:spacing w:line="360" w:lineRule="auto"/>
        <w:rPr>
          <w:rFonts w:ascii="仿宋" w:hAnsi="仿宋" w:eastAsia="仿宋" w:cstheme="majorEastAsia"/>
          <w:sz w:val="32"/>
          <w:szCs w:val="32"/>
        </w:rPr>
      </w:pPr>
      <w:r>
        <w:rPr>
          <w:rFonts w:hint="eastAsia" w:ascii="仿宋" w:hAnsi="仿宋" w:eastAsia="仿宋" w:cstheme="majorEastAsia"/>
          <w:sz w:val="32"/>
          <w:szCs w:val="32"/>
        </w:rPr>
        <w:t xml:space="preserve">  由东侧北门进入医院后禁止左转，直行通过培训楼、肿瘤楼、行政楼，行驶至会议中心左转前往感染科左转前往医技楼北侧进入医院职工停车场，或在感染科直行前往急诊楼至医院东南门驶出医院，也可进入医院环岛路线。</w:t>
      </w:r>
    </w:p>
    <w:p>
      <w:pPr>
        <w:spacing w:line="360" w:lineRule="auto"/>
        <w:rPr>
          <w:rFonts w:ascii="仿宋" w:hAnsi="仿宋" w:eastAsia="仿宋" w:cstheme="majorEastAsia"/>
          <w:sz w:val="32"/>
          <w:szCs w:val="32"/>
        </w:rPr>
      </w:pPr>
      <w:r>
        <w:rPr>
          <w:rFonts w:hint="eastAsia" w:ascii="仿宋" w:hAnsi="仿宋" w:eastAsia="仿宋" w:cstheme="majorEastAsia"/>
          <w:sz w:val="32"/>
          <w:szCs w:val="32"/>
        </w:rPr>
        <w:t>示意图：</w:t>
      </w:r>
    </w:p>
    <w:p>
      <w:pPr>
        <w:spacing w:line="360" w:lineRule="auto"/>
        <w:rPr>
          <w:rFonts w:asciiTheme="majorEastAsia" w:hAnsiTheme="majorEastAsia" w:eastAsiaTheme="majorEastAsia" w:cstheme="majorEastAsia"/>
          <w:sz w:val="32"/>
          <w:szCs w:val="32"/>
        </w:rPr>
      </w:pPr>
      <w:r>
        <w:rPr>
          <w:rFonts w:asciiTheme="majorEastAsia" w:hAnsiTheme="majorEastAsia" w:eastAsiaTheme="majorEastAsia" w:cstheme="majorEastAsia"/>
          <w:sz w:val="32"/>
          <w:szCs w:val="32"/>
        </w:rPr>
        <w:drawing>
          <wp:inline distT="0" distB="0" distL="0" distR="0">
            <wp:extent cx="5629910" cy="6229350"/>
            <wp:effectExtent l="19050" t="0" r="8837" b="0"/>
            <wp:docPr id="2" name="图片 1" descr="C:\Users\Administrator\Desktop\20190822191241154804959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19082219124115480495984[1].png"/>
                    <pic:cNvPicPr>
                      <a:picLocks noChangeAspect="1" noChangeArrowheads="1"/>
                    </pic:cNvPicPr>
                  </pic:nvPicPr>
                  <pic:blipFill>
                    <a:blip r:embed="rId5" cstate="print"/>
                    <a:srcRect/>
                    <a:stretch>
                      <a:fillRect/>
                    </a:stretch>
                  </pic:blipFill>
                  <pic:spPr>
                    <a:xfrm>
                      <a:off x="0" y="0"/>
                      <a:ext cx="5635449" cy="6235420"/>
                    </a:xfrm>
                    <a:prstGeom prst="rect">
                      <a:avLst/>
                    </a:prstGeom>
                    <a:noFill/>
                    <a:ln w="9525">
                      <a:noFill/>
                      <a:miter lim="800000"/>
                      <a:headEnd/>
                      <a:tailEnd/>
                    </a:ln>
                  </pic:spPr>
                </pic:pic>
              </a:graphicData>
            </a:graphic>
          </wp:inline>
        </w:drawing>
      </w:r>
    </w:p>
    <w:p>
      <w:pPr>
        <w:spacing w:line="560" w:lineRule="exact"/>
        <w:rPr>
          <w:rFonts w:ascii="仿宋" w:hAnsi="仿宋" w:eastAsia="仿宋"/>
          <w:b/>
          <w:sz w:val="32"/>
          <w:szCs w:val="32"/>
        </w:rPr>
      </w:pPr>
      <w:r>
        <w:rPr>
          <w:rFonts w:hint="eastAsia" w:ascii="仿宋" w:hAnsi="仿宋" w:eastAsia="仿宋"/>
          <w:b/>
          <w:sz w:val="32"/>
          <w:szCs w:val="32"/>
        </w:rPr>
        <w:t>三、资质要求：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此项目的投标单位在投标时需提交以下资质文件：</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（一）营业执照（或事业单位法人证书，或社会团体法人登记证书，或执业许可证）、组织机构代码证和税务登记证或三证合一证明（复印件加盖单位公章）；</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（二）法定代表人授权委托书原件；（若投标授权代表为法定代表人，则只需提供法定代表人证明书复印件）；</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（三）法定代表人身份证复印件及授权代表身份证复印件；（若投标授权代表为法定代表人，则只需提供法定代表人身份证复印件）；</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（四）经营范围内容为广告设计、制作类等任意一个即可。</w:t>
      </w:r>
    </w:p>
    <w:p>
      <w:pPr>
        <w:spacing w:line="560" w:lineRule="exact"/>
        <w:rPr>
          <w:rFonts w:ascii="仿宋" w:hAnsi="仿宋" w:eastAsia="仿宋"/>
          <w:b/>
          <w:sz w:val="32"/>
          <w:szCs w:val="32"/>
        </w:rPr>
      </w:pPr>
      <w:r>
        <w:rPr>
          <w:rFonts w:hint="eastAsia" w:ascii="仿宋" w:hAnsi="仿宋" w:eastAsia="仿宋" w:cs="仿宋_GB2312"/>
          <w:b/>
          <w:sz w:val="32"/>
          <w:szCs w:val="32"/>
        </w:rPr>
        <w:t>四、</w:t>
      </w:r>
      <w:r>
        <w:rPr>
          <w:rFonts w:hint="eastAsia" w:ascii="仿宋" w:hAnsi="仿宋" w:eastAsia="仿宋"/>
          <w:b/>
          <w:sz w:val="32"/>
          <w:szCs w:val="32"/>
        </w:rPr>
        <w:t>评标方式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评标方式为竞争性谈判。（资质审查合格的投标公司进入价格谈判，最终报价最低的投标公司作为本项目的中标公司）。</w:t>
      </w:r>
    </w:p>
    <w:p>
      <w:pPr>
        <w:spacing w:line="560" w:lineRule="exact"/>
        <w:rPr>
          <w:rFonts w:ascii="仿宋" w:hAnsi="仿宋" w:eastAsia="仿宋"/>
          <w:b/>
          <w:sz w:val="32"/>
          <w:szCs w:val="32"/>
        </w:rPr>
      </w:pPr>
      <w:r>
        <w:rPr>
          <w:rFonts w:hint="eastAsia" w:ascii="仿宋" w:hAnsi="仿宋" w:eastAsia="仿宋"/>
          <w:b/>
          <w:sz w:val="32"/>
          <w:szCs w:val="32"/>
        </w:rPr>
        <w:t>五、标书制作要求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本招标公告中第“三”项目中要求的所有资质，以及投标报价单（含工程量）共一式四份，采用A4纸胶装，开标现场密封递交。</w:t>
      </w:r>
    </w:p>
    <w:p>
      <w:pPr>
        <w:spacing w:line="560" w:lineRule="exact"/>
        <w:rPr>
          <w:rFonts w:ascii="仿宋" w:hAnsi="仿宋" w:eastAsia="仿宋"/>
          <w:b/>
          <w:sz w:val="32"/>
          <w:szCs w:val="32"/>
        </w:rPr>
      </w:pPr>
      <w:r>
        <w:rPr>
          <w:rFonts w:hint="eastAsia" w:ascii="仿宋" w:hAnsi="仿宋" w:eastAsia="仿宋"/>
          <w:b/>
          <w:sz w:val="32"/>
          <w:szCs w:val="32"/>
        </w:rPr>
        <w:t>六、其他：</w:t>
      </w:r>
    </w:p>
    <w:p>
      <w:pPr>
        <w:spacing w:line="560" w:lineRule="exact"/>
        <w:rPr>
          <w:rFonts w:ascii="仿宋" w:hAnsi="仿宋" w:eastAsia="仿宋"/>
          <w:b/>
          <w:sz w:val="32"/>
          <w:szCs w:val="32"/>
        </w:rPr>
      </w:pPr>
      <w:r>
        <w:rPr>
          <w:rFonts w:hint="eastAsia" w:ascii="仿宋" w:hAnsi="仿宋" w:eastAsia="仿宋"/>
          <w:sz w:val="32"/>
          <w:szCs w:val="32"/>
        </w:rPr>
        <w:t xml:space="preserve">    项目联系人：刘老师</w:t>
      </w:r>
      <w:r>
        <w:rPr>
          <w:rFonts w:hint="eastAsia" w:ascii="仿宋" w:hAnsi="仿宋" w:eastAsia="仿宋"/>
          <w:b/>
          <w:sz w:val="32"/>
          <w:szCs w:val="32"/>
        </w:rPr>
        <w:t xml:space="preserve">      </w:t>
      </w:r>
      <w:r>
        <w:rPr>
          <w:rFonts w:hint="eastAsia" w:ascii="仿宋" w:hAnsi="仿宋" w:eastAsia="仿宋"/>
          <w:sz w:val="32"/>
          <w:szCs w:val="32"/>
        </w:rPr>
        <w:t>联系电话：0951-5920084</w:t>
      </w:r>
    </w:p>
    <w:p>
      <w:pPr>
        <w:spacing w:line="560" w:lineRule="exact"/>
        <w:rPr>
          <w:rFonts w:ascii="仿宋" w:hAnsi="仿宋" w:eastAsia="仿宋"/>
          <w:sz w:val="32"/>
          <w:szCs w:val="32"/>
        </w:rPr>
      </w:pPr>
      <w:r>
        <w:rPr>
          <w:rFonts w:hint="eastAsia" w:ascii="仿宋" w:hAnsi="仿宋" w:eastAsia="仿宋"/>
          <w:sz w:val="32"/>
          <w:szCs w:val="32"/>
        </w:rPr>
        <w:t xml:space="preserve">    报名联系人：彭老师      联系电话：0951-5920221</w:t>
      </w:r>
    </w:p>
    <w:p>
      <w:pPr>
        <w:spacing w:line="560" w:lineRule="exact"/>
        <w:rPr>
          <w:rFonts w:ascii="仿宋" w:hAnsi="仿宋" w:eastAsia="仿宋"/>
          <w:sz w:val="32"/>
          <w:szCs w:val="32"/>
        </w:rPr>
      </w:pPr>
      <w:r>
        <w:rPr>
          <w:rFonts w:hint="eastAsia" w:ascii="仿宋" w:hAnsi="仿宋" w:eastAsia="仿宋"/>
          <w:sz w:val="32"/>
          <w:szCs w:val="32"/>
        </w:rPr>
        <w:t xml:space="preserve">    开标时间: 2019年9月 5日上午8:30</w:t>
      </w:r>
    </w:p>
    <w:p>
      <w:pPr>
        <w:spacing w:line="560" w:lineRule="exact"/>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spacing w:val="-10"/>
          <w:sz w:val="32"/>
          <w:szCs w:val="32"/>
        </w:rPr>
        <w:t>开标地点：</w:t>
      </w:r>
      <w:r>
        <w:rPr>
          <w:rFonts w:hint="eastAsia" w:ascii="仿宋" w:hAnsi="仿宋" w:eastAsia="仿宋"/>
          <w:sz w:val="32"/>
          <w:szCs w:val="32"/>
        </w:rPr>
        <w:t>宁夏回族自治区人民医院党员活动室（银川市金凤区正源北街301号行政楼3楼）；开标地点如有变动另行通知。</w:t>
      </w:r>
    </w:p>
    <w:p>
      <w:pPr>
        <w:spacing w:line="560" w:lineRule="exact"/>
        <w:rPr>
          <w:rFonts w:ascii="仿宋" w:hAnsi="仿宋" w:eastAsia="仿宋"/>
          <w:spacing w:val="-10"/>
          <w:sz w:val="32"/>
          <w:szCs w:val="32"/>
        </w:rPr>
      </w:pPr>
    </w:p>
    <w:p>
      <w:pPr>
        <w:spacing w:line="560" w:lineRule="exact"/>
        <w:ind w:right="-1050" w:firstLine="3520" w:firstLineChars="1100"/>
        <w:rPr>
          <w:rFonts w:ascii="仿宋" w:hAnsi="仿宋" w:eastAsia="仿宋"/>
          <w:sz w:val="32"/>
          <w:szCs w:val="32"/>
        </w:rPr>
      </w:pPr>
      <w:r>
        <w:rPr>
          <w:rFonts w:hint="eastAsia" w:ascii="仿宋" w:hAnsi="仿宋" w:eastAsia="仿宋"/>
          <w:sz w:val="32"/>
          <w:szCs w:val="32"/>
        </w:rPr>
        <w:t>宁夏回族自治区人民医院招标办公室</w:t>
      </w:r>
    </w:p>
    <w:p>
      <w:pPr>
        <w:spacing w:line="560" w:lineRule="exact"/>
        <w:ind w:right="-1050" w:firstLine="3520" w:firstLineChars="1100"/>
        <w:rPr>
          <w:rFonts w:ascii="仿宋" w:hAnsi="仿宋" w:eastAsia="仿宋" w:cs="宋体"/>
          <w:sz w:val="32"/>
          <w:szCs w:val="32"/>
        </w:rPr>
      </w:pPr>
      <w:r>
        <w:rPr>
          <w:rFonts w:hint="eastAsia" w:ascii="仿宋" w:hAnsi="仿宋" w:eastAsia="仿宋"/>
          <w:sz w:val="32"/>
          <w:szCs w:val="32"/>
        </w:rPr>
        <w:t xml:space="preserve">          2019年8月28日</w:t>
      </w:r>
    </w:p>
    <w:sectPr>
      <w:footerReference r:id="rId3" w:type="default"/>
      <w:pgSz w:w="11906" w:h="16838"/>
      <w:pgMar w:top="1077" w:right="1247" w:bottom="1077" w:left="1247" w:header="680"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92188"/>
      <w:docPartObj>
        <w:docPartGallery w:val="AutoText"/>
      </w:docPartObj>
    </w:sdtPr>
    <w:sdtContent>
      <w:p>
        <w:pPr>
          <w:pStyle w:val="4"/>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C5BA5"/>
    <w:multiLevelType w:val="singleLevel"/>
    <w:tmpl w:val="70DC5BA5"/>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3C10"/>
    <w:rsid w:val="000070EB"/>
    <w:rsid w:val="000134F3"/>
    <w:rsid w:val="000135A0"/>
    <w:rsid w:val="00024603"/>
    <w:rsid w:val="00031243"/>
    <w:rsid w:val="000424DA"/>
    <w:rsid w:val="00064BF0"/>
    <w:rsid w:val="000777FF"/>
    <w:rsid w:val="000A0118"/>
    <w:rsid w:val="000C4681"/>
    <w:rsid w:val="000D2232"/>
    <w:rsid w:val="000E54FF"/>
    <w:rsid w:val="0010701A"/>
    <w:rsid w:val="0011553B"/>
    <w:rsid w:val="001314B9"/>
    <w:rsid w:val="001411C4"/>
    <w:rsid w:val="00173C10"/>
    <w:rsid w:val="00182D9E"/>
    <w:rsid w:val="00187F4A"/>
    <w:rsid w:val="001C7861"/>
    <w:rsid w:val="002043BE"/>
    <w:rsid w:val="002101A3"/>
    <w:rsid w:val="00215449"/>
    <w:rsid w:val="00217403"/>
    <w:rsid w:val="00235B73"/>
    <w:rsid w:val="002433CF"/>
    <w:rsid w:val="00267215"/>
    <w:rsid w:val="0027440E"/>
    <w:rsid w:val="00281A9D"/>
    <w:rsid w:val="00281B8F"/>
    <w:rsid w:val="00295025"/>
    <w:rsid w:val="00296E01"/>
    <w:rsid w:val="00297BBB"/>
    <w:rsid w:val="002A35B6"/>
    <w:rsid w:val="002A51DA"/>
    <w:rsid w:val="002B11C8"/>
    <w:rsid w:val="002B3B35"/>
    <w:rsid w:val="002C2FAA"/>
    <w:rsid w:val="002D7301"/>
    <w:rsid w:val="002F20AF"/>
    <w:rsid w:val="002F3841"/>
    <w:rsid w:val="002F5CA6"/>
    <w:rsid w:val="002F6C60"/>
    <w:rsid w:val="002F6FAB"/>
    <w:rsid w:val="00300256"/>
    <w:rsid w:val="00302D6D"/>
    <w:rsid w:val="003155D7"/>
    <w:rsid w:val="00327759"/>
    <w:rsid w:val="00352694"/>
    <w:rsid w:val="00384E24"/>
    <w:rsid w:val="00394FAB"/>
    <w:rsid w:val="00395B87"/>
    <w:rsid w:val="00396CB6"/>
    <w:rsid w:val="003C2302"/>
    <w:rsid w:val="003C4A69"/>
    <w:rsid w:val="003E25EF"/>
    <w:rsid w:val="003F39FD"/>
    <w:rsid w:val="003F5534"/>
    <w:rsid w:val="00402BFA"/>
    <w:rsid w:val="0041359B"/>
    <w:rsid w:val="00436F91"/>
    <w:rsid w:val="004445C2"/>
    <w:rsid w:val="00450045"/>
    <w:rsid w:val="0046480A"/>
    <w:rsid w:val="00473002"/>
    <w:rsid w:val="00490E87"/>
    <w:rsid w:val="004940F8"/>
    <w:rsid w:val="004978A1"/>
    <w:rsid w:val="004B40C2"/>
    <w:rsid w:val="004C6D3F"/>
    <w:rsid w:val="004F3360"/>
    <w:rsid w:val="004F71D4"/>
    <w:rsid w:val="0052783B"/>
    <w:rsid w:val="00534C63"/>
    <w:rsid w:val="0054109C"/>
    <w:rsid w:val="005413D8"/>
    <w:rsid w:val="00543F90"/>
    <w:rsid w:val="005665C0"/>
    <w:rsid w:val="0056778A"/>
    <w:rsid w:val="0058005F"/>
    <w:rsid w:val="005B2E4D"/>
    <w:rsid w:val="005B64B9"/>
    <w:rsid w:val="005C7A05"/>
    <w:rsid w:val="005D3615"/>
    <w:rsid w:val="00617B9B"/>
    <w:rsid w:val="00625FEB"/>
    <w:rsid w:val="006776B6"/>
    <w:rsid w:val="00691736"/>
    <w:rsid w:val="00694934"/>
    <w:rsid w:val="006A20E0"/>
    <w:rsid w:val="006A4F7F"/>
    <w:rsid w:val="006C568A"/>
    <w:rsid w:val="006C6E60"/>
    <w:rsid w:val="006D13D3"/>
    <w:rsid w:val="006D2B3D"/>
    <w:rsid w:val="006F7FD5"/>
    <w:rsid w:val="00701514"/>
    <w:rsid w:val="0070564B"/>
    <w:rsid w:val="007101B3"/>
    <w:rsid w:val="00720E2D"/>
    <w:rsid w:val="007223F2"/>
    <w:rsid w:val="00726888"/>
    <w:rsid w:val="00727307"/>
    <w:rsid w:val="00751D78"/>
    <w:rsid w:val="00753279"/>
    <w:rsid w:val="00767800"/>
    <w:rsid w:val="00773AE6"/>
    <w:rsid w:val="00773F4F"/>
    <w:rsid w:val="00783B54"/>
    <w:rsid w:val="00794EC1"/>
    <w:rsid w:val="007A21C7"/>
    <w:rsid w:val="007C1E34"/>
    <w:rsid w:val="007E2FF1"/>
    <w:rsid w:val="00800843"/>
    <w:rsid w:val="008109F3"/>
    <w:rsid w:val="00815929"/>
    <w:rsid w:val="008302D7"/>
    <w:rsid w:val="00832CCF"/>
    <w:rsid w:val="00855222"/>
    <w:rsid w:val="00856103"/>
    <w:rsid w:val="00865164"/>
    <w:rsid w:val="0088305C"/>
    <w:rsid w:val="008A544D"/>
    <w:rsid w:val="008A5A96"/>
    <w:rsid w:val="008A7102"/>
    <w:rsid w:val="008B4644"/>
    <w:rsid w:val="008C7C7B"/>
    <w:rsid w:val="008D41F0"/>
    <w:rsid w:val="0090650D"/>
    <w:rsid w:val="00911AC3"/>
    <w:rsid w:val="00911F7E"/>
    <w:rsid w:val="00922394"/>
    <w:rsid w:val="0095781D"/>
    <w:rsid w:val="009677FB"/>
    <w:rsid w:val="009801BD"/>
    <w:rsid w:val="009E321D"/>
    <w:rsid w:val="009F1816"/>
    <w:rsid w:val="00A41202"/>
    <w:rsid w:val="00A47DBC"/>
    <w:rsid w:val="00A65563"/>
    <w:rsid w:val="00A65BDD"/>
    <w:rsid w:val="00A721B3"/>
    <w:rsid w:val="00A8338C"/>
    <w:rsid w:val="00A836ED"/>
    <w:rsid w:val="00A938B8"/>
    <w:rsid w:val="00A95B76"/>
    <w:rsid w:val="00AC0F6C"/>
    <w:rsid w:val="00AE4886"/>
    <w:rsid w:val="00B23825"/>
    <w:rsid w:val="00B41EA1"/>
    <w:rsid w:val="00B52C2D"/>
    <w:rsid w:val="00B5469E"/>
    <w:rsid w:val="00B700BF"/>
    <w:rsid w:val="00B91EFE"/>
    <w:rsid w:val="00B9575D"/>
    <w:rsid w:val="00BD78CF"/>
    <w:rsid w:val="00BE10CE"/>
    <w:rsid w:val="00BE3D16"/>
    <w:rsid w:val="00BE4E69"/>
    <w:rsid w:val="00BF1718"/>
    <w:rsid w:val="00C00445"/>
    <w:rsid w:val="00C036AA"/>
    <w:rsid w:val="00C06565"/>
    <w:rsid w:val="00C13224"/>
    <w:rsid w:val="00C15C45"/>
    <w:rsid w:val="00C2021D"/>
    <w:rsid w:val="00C37DEA"/>
    <w:rsid w:val="00C42D49"/>
    <w:rsid w:val="00C53417"/>
    <w:rsid w:val="00C57901"/>
    <w:rsid w:val="00C74AAE"/>
    <w:rsid w:val="00C8197A"/>
    <w:rsid w:val="00C956D7"/>
    <w:rsid w:val="00C95F98"/>
    <w:rsid w:val="00CD2E1E"/>
    <w:rsid w:val="00CE0ECD"/>
    <w:rsid w:val="00CE2674"/>
    <w:rsid w:val="00CF0E03"/>
    <w:rsid w:val="00D06039"/>
    <w:rsid w:val="00D06A72"/>
    <w:rsid w:val="00D12CA0"/>
    <w:rsid w:val="00D31CCC"/>
    <w:rsid w:val="00D5394E"/>
    <w:rsid w:val="00D622B7"/>
    <w:rsid w:val="00D62F5E"/>
    <w:rsid w:val="00D6638E"/>
    <w:rsid w:val="00D81D74"/>
    <w:rsid w:val="00D82143"/>
    <w:rsid w:val="00D82D28"/>
    <w:rsid w:val="00DA304C"/>
    <w:rsid w:val="00DC3017"/>
    <w:rsid w:val="00DE2294"/>
    <w:rsid w:val="00E07D28"/>
    <w:rsid w:val="00E174EF"/>
    <w:rsid w:val="00E2390D"/>
    <w:rsid w:val="00E33A32"/>
    <w:rsid w:val="00E46BAE"/>
    <w:rsid w:val="00E51C21"/>
    <w:rsid w:val="00E52D39"/>
    <w:rsid w:val="00E53548"/>
    <w:rsid w:val="00E63138"/>
    <w:rsid w:val="00E6526D"/>
    <w:rsid w:val="00E7766F"/>
    <w:rsid w:val="00E80D6C"/>
    <w:rsid w:val="00E87A23"/>
    <w:rsid w:val="00E95366"/>
    <w:rsid w:val="00EA09EB"/>
    <w:rsid w:val="00EB6AC1"/>
    <w:rsid w:val="00EE48B9"/>
    <w:rsid w:val="00EF18B1"/>
    <w:rsid w:val="00F11190"/>
    <w:rsid w:val="00F12F6B"/>
    <w:rsid w:val="00F17752"/>
    <w:rsid w:val="00F50D0D"/>
    <w:rsid w:val="00F542E8"/>
    <w:rsid w:val="00F63998"/>
    <w:rsid w:val="00F64B81"/>
    <w:rsid w:val="00F87029"/>
    <w:rsid w:val="00FA23DA"/>
    <w:rsid w:val="00FB3B89"/>
    <w:rsid w:val="00FB5BC1"/>
    <w:rsid w:val="00FB6FDC"/>
    <w:rsid w:val="00FD3E67"/>
    <w:rsid w:val="00FD605D"/>
    <w:rsid w:val="00FF3506"/>
    <w:rsid w:val="1D394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1"/>
    <w:semiHidden/>
    <w:unhideWhenUsed/>
    <w:qFormat/>
    <w:uiPriority w:val="99"/>
    <w:pPr>
      <w:ind w:left="100" w:leftChars="2500"/>
    </w:pPr>
  </w:style>
  <w:style w:type="paragraph" w:styleId="3">
    <w:name w:val="Balloon Text"/>
    <w:basedOn w:val="1"/>
    <w:link w:val="13"/>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List Paragraph"/>
    <w:basedOn w:val="1"/>
    <w:qFormat/>
    <w:uiPriority w:val="34"/>
    <w:pPr>
      <w:ind w:firstLine="420" w:firstLineChars="200"/>
    </w:pPr>
  </w:style>
  <w:style w:type="character" w:customStyle="1" w:styleId="9">
    <w:name w:val="页眉 Char"/>
    <w:basedOn w:val="7"/>
    <w:link w:val="5"/>
    <w:semiHidden/>
    <w:qFormat/>
    <w:uiPriority w:val="99"/>
    <w:rPr>
      <w:rFonts w:ascii="Times New Roman" w:hAnsi="Times New Roman" w:eastAsia="宋体" w:cs="Times New Roman"/>
      <w:sz w:val="18"/>
      <w:szCs w:val="18"/>
    </w:rPr>
  </w:style>
  <w:style w:type="character" w:customStyle="1" w:styleId="10">
    <w:name w:val="页脚 Char"/>
    <w:basedOn w:val="7"/>
    <w:link w:val="4"/>
    <w:qFormat/>
    <w:uiPriority w:val="99"/>
    <w:rPr>
      <w:rFonts w:ascii="Times New Roman" w:hAnsi="Times New Roman" w:eastAsia="宋体" w:cs="Times New Roman"/>
      <w:sz w:val="18"/>
      <w:szCs w:val="18"/>
    </w:rPr>
  </w:style>
  <w:style w:type="character" w:customStyle="1" w:styleId="11">
    <w:name w:val="日期 Char"/>
    <w:basedOn w:val="7"/>
    <w:link w:val="2"/>
    <w:semiHidden/>
    <w:qFormat/>
    <w:uiPriority w:val="99"/>
    <w:rPr>
      <w:rFonts w:ascii="Times New Roman" w:hAnsi="Times New Roman"/>
      <w:kern w:val="2"/>
      <w:sz w:val="21"/>
      <w:szCs w:val="24"/>
    </w:rPr>
  </w:style>
  <w:style w:type="paragraph" w:styleId="1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
    <w:name w:val="批注框文本 Char"/>
    <w:basedOn w:val="7"/>
    <w:link w:val="3"/>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759036-3398-44BA-B336-9AD73EC09E0F}">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Pages>
  <Words>368</Words>
  <Characters>2103</Characters>
  <Lines>17</Lines>
  <Paragraphs>4</Paragraphs>
  <TotalTime>382</TotalTime>
  <ScaleCrop>false</ScaleCrop>
  <LinksUpToDate>false</LinksUpToDate>
  <CharactersWithSpaces>2467</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2019-03-28T09:22:00Z</dcterms:created>
  <dc:creator>gyb1</dc:creator>
  <cp:lastModifiedBy>本wo</cp:lastModifiedBy>
  <cp:lastPrinted>2019-06-20T00:29:00Z</cp:lastPrinted>
  <dcterms:modified xsi:type="dcterms:W3CDTF">2019-08-30T02:30:14Z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