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240" w:lineRule="atLeast"/>
        <w:jc w:val="both"/>
        <w:rPr>
          <w:rFonts w:hint="eastAsia" w:ascii="仿宋_GB2312" w:hAnsi="Times New Roman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  <w:lang w:eastAsia="zh-CN"/>
        </w:rPr>
        <w:t>宁夏回族自治区人民医院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2022年住院医师规范化培训各专业基地第二批招收计划一览表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38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4295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专业基地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计划招收名额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儿科（紧缺专业）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急诊科（紧缺专业）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麻醉科（紧缺专业）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外科（神经外科）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外科（胸心外科）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外科（泌尿外科）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0" w:lineRule="atLeast"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YTFmNzJjNjk3YzI0MTkxZjkxNTY4MWJmZDkwOTkifQ=="/>
  </w:docVars>
  <w:rsids>
    <w:rsidRoot w:val="5F040FEA"/>
    <w:rsid w:val="5F0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2022-07-14T11:14:00Z</dcterms:created>
  <dc:creator>^_^</dc:creator>
  <cp:lastModifiedBy>^_^</cp:lastModifiedBy>
  <dcterms:modified xsi:type="dcterms:W3CDTF">2022-07-14T11:15:21Z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DA678B193F724763BF1A54C0EC208907</vt:lpwstr>
  </property>
</Properties>
</file>